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731200" cy="2057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PROGRAMMA DISCIPLINARE DI DISEGNO E STORIA DELL’ARTE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Prof./ssa TIZIANA CHITA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Classe V C LSO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Libri di testo: CRICCO DI TEODORO- ITINERARIO NELL’ARTE VOL 4 E 5.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VERSIONE ARANCIONE QUINTA EDIZIONE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EDIZIONI ZANICHELLI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Uscite didattiche: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Conversano, centro storico e mostra di Chagall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Tivoli, Villa Adriana e Villa D’Este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Pop Art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Land Art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Body Art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Cenni All’Arte Contemporanea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Cenni All’Architettura Contemporanea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Informale americano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Jackson Pollock Mark Rothko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Corner CLIL contemporary architecture Arte informale in Italia: Burri Fontana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Arte del dopoguerra Fautrier Dubuffet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Architettura organica: Wright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Laboratorio artistico con A.I.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Le Corbusier, la vita.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Mies van der Rohe Seagram building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Il Movimento Moderno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Razionalismo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Bauhaus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Industrial design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Il calcestruzzo armato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Astrattismo Kandinsky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La Metafisica Le muse inquietanti La vita e il disegno di De Chirico, Villa Romana, L'enigma dell'ora.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Magritte vita e opere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Il Dadaismo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Il Surrealismo Dali’ la vita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Laboratorio artistico collage sul tema della guerra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Boccioni, Balla La città che sale, Forme uniche nella continuità dello spazio. Dinamismo di un cane al guinzaglio.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Il Futurismo Boccioni, vita , Autoritratto, la città che sale, rissa in galleria, forme uniche nella continuità dello spazio.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Balla, lampada ad arco. dinamismo di cane al guinzaglio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Simposio futurista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Picasso, periodo del cubismo analitico, periodo classico,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Laboratorio creativo- nuvola di parole su Guernica utilizzando anche l'inglese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Guernica Picasso, vita e opere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Picasso, la vita Periodo Blu e periodo Rosa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Munch vita e opere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Matisse,. Klimt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Picasso, la vita Periodo Blu e periodo Rosa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Klimt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Architettura Nouveau:: Otto Wagner, Hector Guimard, Antoni Gaudi.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Art Nouveau,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il post Impressionismo, Seurat Cèzanne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Il Postimpressionismo Van Gogh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L'Impressionismo, E. Manet, colazione sull'erba, Olympia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bar a Les folies Bergère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color w:val="262626"/>
          <w:sz w:val="20"/>
          <w:szCs w:val="20"/>
          <w:shd w:fill="eaeaea" w:val="clear"/>
          <w:rtl w:val="0"/>
        </w:rPr>
        <w:t xml:space="preserve">C. Monet, le cattedrali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Le stampe giapponesi, il Giapponismo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La nuova architettura del ferro in Europa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Architettura Nouveau:: Otto Wagner, Hector Guimard, Antoni Gaudi.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Il giornale dell'arte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Il Realismo: Courbet: gli spaccapietre, il funerale a Ornans, l'atelier del pittore.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Santeramo, 6 giugno 2025                                     Prof.ssa Tiziana Chita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